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8A" w:rsidRDefault="00A8208A" w:rsidP="00A820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Dover Borough Fire Hall</w:t>
      </w:r>
    </w:p>
    <w:p w:rsidR="00A8208A" w:rsidRPr="00A8208A" w:rsidRDefault="00A8208A" w:rsidP="00A820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8208A" w:rsidRPr="00A8208A" w:rsidRDefault="00A8208A" w:rsidP="00A82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208A">
        <w:rPr>
          <w:rFonts w:ascii="Times New Roman" w:eastAsia="Times New Roman" w:hAnsi="Times New Roman" w:cs="Times New Roman"/>
          <w:sz w:val="24"/>
          <w:szCs w:val="24"/>
        </w:rPr>
        <w:t xml:space="preserve">East on W. Canal St. is the site of the old Union Fire and Hose Fire Company at 17 W. Canal St. which began operations in the fall of 1844.The </w:t>
      </w:r>
      <w:proofErr w:type="gramStart"/>
      <w:r w:rsidRPr="00A8208A">
        <w:rPr>
          <w:rFonts w:ascii="Times New Roman" w:eastAsia="Times New Roman" w:hAnsi="Times New Roman" w:cs="Times New Roman"/>
          <w:sz w:val="24"/>
          <w:szCs w:val="24"/>
        </w:rPr>
        <w:t>company</w:t>
      </w:r>
      <w:proofErr w:type="gramEnd"/>
      <w:r w:rsidRPr="00A8208A">
        <w:rPr>
          <w:rFonts w:ascii="Times New Roman" w:eastAsia="Times New Roman" w:hAnsi="Times New Roman" w:cs="Times New Roman"/>
          <w:sz w:val="24"/>
          <w:szCs w:val="24"/>
        </w:rPr>
        <w:t xml:space="preserve"> had a hand pumper called “Old Mason” which it had purchased from the Vigilant Company of York and which was in use until 1885. The Fire House charter was dedicated in 1912; the company continued operations here until 1953. Before the building served as a fire house, it was George </w:t>
      </w:r>
      <w:proofErr w:type="spellStart"/>
      <w:r w:rsidRPr="00A8208A">
        <w:rPr>
          <w:rFonts w:ascii="Times New Roman" w:eastAsia="Times New Roman" w:hAnsi="Times New Roman" w:cs="Times New Roman"/>
          <w:sz w:val="24"/>
          <w:szCs w:val="24"/>
        </w:rPr>
        <w:t>Strayer’s</w:t>
      </w:r>
      <w:proofErr w:type="spellEnd"/>
      <w:r w:rsidRPr="00A8208A">
        <w:rPr>
          <w:rFonts w:ascii="Times New Roman" w:eastAsia="Times New Roman" w:hAnsi="Times New Roman" w:cs="Times New Roman"/>
          <w:sz w:val="24"/>
          <w:szCs w:val="24"/>
        </w:rPr>
        <w:t xml:space="preserve"> buggy shop.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6"/>
        <w:gridCol w:w="4746"/>
      </w:tblGrid>
      <w:tr w:rsidR="00A8208A" w:rsidRPr="00A8208A" w:rsidTr="00A8208A">
        <w:trPr>
          <w:trHeight w:val="2571"/>
        </w:trPr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208A" w:rsidRPr="00A8208A" w:rsidRDefault="00A8208A" w:rsidP="00A8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105025" cy="1495425"/>
                  <wp:effectExtent l="19050" t="0" r="9525" b="0"/>
                  <wp:wrapSquare wrapText="bothSides"/>
                  <wp:docPr id="2" name="Picture 2" descr="http://www.gdhspa.org/Obituaries/Lori%20Kendig/clip_image1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dhspa.org/Obituaries/Lori%20Kendig/clip_image1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208A" w:rsidRPr="00A8208A" w:rsidRDefault="00A8208A" w:rsidP="00A8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33575" cy="1457325"/>
                  <wp:effectExtent l="19050" t="0" r="9525" b="0"/>
                  <wp:wrapSquare wrapText="bothSides"/>
                  <wp:docPr id="3" name="Picture 3" descr="http://www.gdhspa.org/Obituaries/Lori%20Kendig/clip_image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dhspa.org/Obituaries/Lori%20Kendig/clip_image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273CC" w:rsidRDefault="00A8208A" w:rsidP="00D12F56">
      <w:pPr>
        <w:jc w:val="center"/>
      </w:pPr>
      <w:hyperlink r:id="rId6" w:history="1">
        <w:r w:rsidRPr="007F5837">
          <w:rPr>
            <w:rStyle w:val="Hyperlink"/>
          </w:rPr>
          <w:t>http://www.gdhspa.org/Kids%20Page/tour.htm</w:t>
        </w:r>
      </w:hyperlink>
    </w:p>
    <w:p w:rsidR="00A8208A" w:rsidRDefault="00A8208A"/>
    <w:sectPr w:rsidR="00A8208A" w:rsidSect="00227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D4D19"/>
    <w:rsid w:val="000D4D19"/>
    <w:rsid w:val="002273CC"/>
    <w:rsid w:val="00A8208A"/>
    <w:rsid w:val="00D1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0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dhspa.org/Kids%20Page/tour.ht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Company>DASD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2012-05-07T14:43:00Z</dcterms:created>
  <dcterms:modified xsi:type="dcterms:W3CDTF">2012-05-07T15:00:00Z</dcterms:modified>
</cp:coreProperties>
</file>